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3" w:rsidRPr="00A8121A" w:rsidRDefault="00A8121A" w:rsidP="00593C83">
      <w:pPr>
        <w:tabs>
          <w:tab w:val="left" w:pos="2760"/>
          <w:tab w:val="center" w:pos="4677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ИТОГОВ №ГЗ-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39</w:t>
      </w:r>
    </w:p>
    <w:p w:rsidR="00975EBC" w:rsidRPr="00975EBC" w:rsidRDefault="00593C83" w:rsidP="00975EB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по закупкам изделий медицинского назначения </w:t>
      </w:r>
      <w:r w:rsidR="00975EBC" w:rsidRPr="00975EBC">
        <w:rPr>
          <w:rFonts w:ascii="Times New Roman" w:hAnsi="Times New Roman"/>
          <w:b/>
          <w:sz w:val="24"/>
          <w:szCs w:val="24"/>
        </w:rPr>
        <w:t>металлоконструкций для проведения спинальных нейрохирургических вмешательств на 2017 год.</w:t>
      </w:r>
    </w:p>
    <w:p w:rsidR="00D1250E" w:rsidRPr="00975EBC" w:rsidRDefault="00D1250E" w:rsidP="00593C8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C83" w:rsidRPr="00975EBC" w:rsidRDefault="00593C83" w:rsidP="00593C8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ГКП на ПХВ «Городская </w:t>
      </w:r>
      <w:r w:rsidR="008C3A68" w:rsidRP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больница №7» на 2017</w:t>
      </w:r>
      <w:r w:rsidRP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2116" w:rsidRDefault="00FF2116" w:rsidP="00593C8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C83" w:rsidRPr="00593C83" w:rsidRDefault="008D7EFE" w:rsidP="00593C8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</w:t>
      </w:r>
      <w:r w:rsidR="00975E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09</w:t>
      </w:r>
      <w:r w:rsidR="00593C83"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8C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593C83"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2116" w:rsidRDefault="00FF2116" w:rsidP="00593C8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83" w:rsidRPr="008C3A68" w:rsidRDefault="00593C83" w:rsidP="00593C8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Алматы, 050006, г. </w:t>
      </w:r>
      <w:proofErr w:type="spellStart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Калкаман.</w:t>
      </w:r>
      <w:proofErr w:type="gramStart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C3A6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РНН 600200070554; БИН 990240002502; ИИК KZ 144500239860000093 KZT; </w:t>
      </w:r>
      <w:proofErr w:type="gramStart"/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ASFBKZKA, КБЕ – 16 в АО «Банк «Астаны», электронный адрес: </w:t>
      </w:r>
      <w:hyperlink r:id="rId8" w:history="1">
        <w:r w:rsidRPr="00593C83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ko-KR"/>
          </w:rPr>
          <w:t>info@gkb7.kz</w:t>
        </w:r>
      </w:hyperlink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3A68" w:rsidRPr="008C3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="008C3A68" w:rsidRPr="008C3A6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медицинской помощи в системе обязательного социального медицинского страхования, утвержденных</w:t>
      </w:r>
      <w:r w:rsidR="008C3A68" w:rsidRPr="008C3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РК от 30 октября 2009 года №1729</w:t>
      </w:r>
      <w:r w:rsidR="008C3A68" w:rsidRPr="008C3A68">
        <w:rPr>
          <w:rFonts w:ascii="Times New Roman" w:eastAsia="Times New Roman" w:hAnsi="Times New Roman" w:cs="Times New Roman"/>
          <w:sz w:val="24"/>
          <w:szCs w:val="24"/>
        </w:rPr>
        <w:t>, (далее-Правила</w:t>
      </w:r>
      <w:proofErr w:type="gramEnd"/>
      <w:r w:rsidR="008C3A68" w:rsidRPr="008C3A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 закупки </w:t>
      </w:r>
      <w:r w:rsidR="00C3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медицинского назначение </w:t>
      </w:r>
      <w:r w:rsidRPr="008C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 w:rsidR="00C3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обом </w:t>
      </w:r>
      <w:r w:rsidR="00B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тендера  на 2017</w:t>
      </w:r>
      <w:r w:rsidRPr="008C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C3A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93C83" w:rsidRPr="00593C83" w:rsidRDefault="00593C83" w:rsidP="00593C8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 закупаемых </w:t>
      </w:r>
      <w:r w:rsidRPr="00593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изделий медицинского назначения: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6911"/>
      </w:tblGrid>
      <w:tr w:rsidR="00593C83" w:rsidRPr="00593C83" w:rsidTr="00975EBC">
        <w:tc>
          <w:tcPr>
            <w:tcW w:w="851" w:type="dxa"/>
            <w:shd w:val="clear" w:color="auto" w:fill="auto"/>
            <w:vAlign w:val="center"/>
          </w:tcPr>
          <w:p w:rsidR="00593C83" w:rsidRPr="00593C83" w:rsidRDefault="00593C83" w:rsidP="0059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C83" w:rsidRPr="00593C83" w:rsidRDefault="00593C83" w:rsidP="0059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93C83" w:rsidRPr="00593C83" w:rsidRDefault="00593C83" w:rsidP="0059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(08Х26; 10х26; 12х26)</w:t>
            </w:r>
          </w:p>
        </w:tc>
        <w:tc>
          <w:tcPr>
            <w:tcW w:w="6911" w:type="dxa"/>
            <w:shd w:val="clear" w:color="auto" w:fill="auto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Система должна состоять из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и размерам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кейджей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могут устанавливаться между двумя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люмбальными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люмбосакральными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телами позвонка для оказания поддержки и коррекции во время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люмбальной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хирургии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межтелового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спондилодеза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. Полая геометрия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имплантов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должна позволять им быть заполненными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аутокостным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трансплантатом. 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размерами 08х22, 08х26, 08х32, 08х36, 10х22, 10х26, 10х32, 10х36, 12х22, 12х26, 12х32, 12х36, 14х22, 14х26, 14х32, 14х36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(14X11X5 мм; 14х11х6 мм; 14х11х7 мм)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кейджей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разной ширины, высоты и геометрических характеристик, которые могут быть вставлены между двумя шейно-позвоночными дисками для поддержки и коррекции во время операций по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интеркорпоральномуспондилодезу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для фиксации и ускорения сращения костей во время нормального процесса заживления после хирургической коррекции нарушений позвоночника. Вогнутые геометрические формы имплантатов позволяют упаковывать их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insitu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. Системы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кейджей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должны состоять из клеток PEEK (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полиэфирэфиркетона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), отвечающего минимальным стандартам ASTM F2026, и титанового сплава, отвечающего минимальным стандартам ASTM F136.  Размеры 14х11х5,  14х11х6, 14х11х7 (в зависимости о заявки конечного получателя).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Круглый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13Х70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системы изготавливаются из: титанового сплава  Ti-6Al-4V, градация V, американский стандарт ASTM F136, немецкий стандарт DIN 17850. Выполнен в виде трубки круглой формы, диаметром 10, 13 мм, длиной 10-100 мм  с сетчатыми стенками в виде треугольников, по своей форме образующими поперечные кольца жесткости. Сетчатый дизайн служит для прорастания костного трансплантата. Толщина стенки сетки меша не менее 1,5 мм. Толщина поперечного кольца 1 мм. Не требует использования замыкательных торцевых крышек жесткости. Угловые допуски при установке от 0 до 30°.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Интраоперационная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 быстрой подгонки формы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эндопротеза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триммеров-кусачек. 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27,5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Пластины для фиксации шейного отдела позвоночника, различные по форме и размерам (25; 27,5; 35; 37,5; 40;42,5;45;47,5;50; 52,5; 57,5; 60; 62,5; 65; 67,5; 70; 75;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80 мм по заявке конечного получателя) металлические пластины для фиксации с интегрированными в них блокирующими винтами и прокладками, изготовленные из сплава титана  Ti-6Al-4V, градация V, американский стандарт ASTM F136, немецкий стандарт DIN 17850.</w:t>
            </w:r>
            <w:proofErr w:type="gramEnd"/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32,5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42,5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45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60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62,5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самосверлящий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VA (4,0Х13; 4,5х13)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Самосверлящий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 (размерами 4,0*12 мм, 4,0*13 мм, 4,0*14 мм, 4,5*13 мм, 4,5*14 мм по заявке конечного получателя), изготовленный из сплава титана  Ti-6Al-4V, градация V, американский стандарт ASTM F136, немецкий стандарт DIN 17850.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Стержень из титанового сплава диаметр 5,5 мм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длинной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500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Гладкий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стержнь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для жесткой фиксации с шестигранным кончиком для захвата специальным инструментом и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деротации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.  Диаметр 5.5 мм. Длина от 40 до 600 мм, с возможностью тримминга специальными кусачками и многоплоскостного моделирования.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Гайка из титанового сплава с отламывающейся головкой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Блокирующую гайку, состоящую из двух частей: нижней фиксирующей высотой 4,5 мм, погружающейся в головку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, имеющей внешнюю резьбу G4, и верхней шестигранной, сепарируемой при затягивании. Сепарируемая часть гайки полая, имеет высоту  7,5 мм. На блокирующей части гайки сверху имеется шестигранный внутренний шлиц для ревизионного вмешательства.  Размер посадочного гнезда гайки – 8 мм.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» шип.</w:t>
            </w:r>
            <w:proofErr w:type="gramEnd"/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многоосевой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(4,0Х35; 4,0х40; 4,5х45; 5,0х45; 5,0х50; 5,5х40; 5,5х50; 5,5х55; 6,0х40)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Мультиаксиальный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транспедикулярный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 с самонарезающей резьбой, с постоянным широким шагом и диаметром и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Кончик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транспедикулярного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 5.5мм/ 6.5мм/ 7.5мм/ 8.5мм, длина от 20 до 65 мм. Размеры головки винта: высота 16.1 мм,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сагитальная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ширина 9.2 мм, диаметр 12.63 мм. Высота профиля 16.1 мм, диаметр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футпринта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межтеловое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</w:t>
            </w:r>
            <w:r w:rsidRPr="00975E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размером (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16х14х5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конструкции: материал 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EEK,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нитиноловые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перемычки, танталовые маркеры, винты из титанового сплава. Характеристика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: ширина 16мм, глубина 14мм, высота определяется по задней поверхности, доступные размеры от 5 до 9 мм, толщина фланца 2мм, угол лордоза 4</w:t>
            </w:r>
            <w:r w:rsidRPr="00975EBC">
              <w:rPr>
                <w:rFonts w:ascii="Times New Roman" w:hAnsi="Cambria Math" w:cs="Times New Roman"/>
                <w:sz w:val="18"/>
                <w:szCs w:val="18"/>
              </w:rPr>
              <w:t>⁰</w:t>
            </w: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самонарезающий винт 3.5 мм, 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11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Характеристики винтов: различный угол введения, самонарезающие, длина: 11мм, 13мм, 15мм,  17мм, диаметр: 3.5 мм, 4.0 мм, угол отклонения 25 градусов.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игл для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включает в себя : пластиковую Т-образную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канюлированную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рукоятку, у основания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котрой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 блокирующий механизм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ри переводе механизма в положение "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lock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" рукоятка надежна фиксирована и не может быть снята со стилета, что важно и удобно в момент извлечения иглы. Отверстие в рукоятке позволяет извлекать иглу по направляющему инструменту (спице)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роакары со стилетами: троакар представляет собой трубку длиной 125 мм с переменным диаметром: более узкая часть вводится в глубокие мышечные слои. Такая форма стилета, наряду с </w:t>
            </w:r>
            <w:r w:rsidRPr="0097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сохранением жесткости, упрощает введение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иструмента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 ткани. В конце троакара расположен резьбовой блокирующий механизм для фиксации стилета и рукоятки. Представлены стилеты двух типов: первый стилет имеет одну режущую грань, скошенную под углом 35 град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тот тип стилет обладает хорошим режущими свойствами.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гайка с внутренней резьбой для стержня диаметром (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 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гайка с отламывающейся головкой, состоящая из двух частей: нижней фиксирующей высотой 4,5 мм, погружающейся в головку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, имеющей внешнюю резьбу G4, и верхней, сепарируемой при затягивании. На блокирующей части гайки сверху имеется шестигранный внутренний шлиц для ревизионного вмешательства.  Размер посадочного гнезда гайки – 8 мм.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» шип.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Изготовленна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из сплава титана Ti-6Al-4V, градация V, американский стандарт ASTM F136, немецкий стандарт DIN 17850.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5.5, размером (мм) 5.5х40 мм, 5.5х45 мм, 5.5х50 мм, 5.5х55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 из титанового сплава Ti-6Al-4V, градация V, американский стандарт ASTM F136, немецкий стандарт DIN 17850. </w:t>
            </w:r>
            <w:proofErr w:type="spellStart"/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Многоосевой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Кончик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транспедикулярного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постаянным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шагом 14.8 и уменьшающейся глубиной от конца к основанию, от 1,49 до 0,35 мм. Ножка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ыинта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имеет канюлю диаметром 1.0 мм. Размеры: диаметр 4.0мм/ 4.5мм/ 5.0мм/ 5.5мм, длина от 15 до 30 мм с шагом 5 мм. Размеры головки винта: высота 16.1 мм,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сагитальная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ширина 9.2 мм, диаметр 12.63 мм. Высота профиля 16.1 мм, диаметр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футпринта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11 мм. Угол наклона головки винта относительно оси ножки винта составляет 28° при любом диаметре ножки винта.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 гайкой с отламывающейся головкой, состоящей из двух частей: нижней фиксирующей высотой 4,5 мм, погружающейся в головку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, имеющей внешнюю резьбу G4, и верхней шестигранной, сепарируемой при затягивании.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Сепарируемая часть гайки полая, имеет высоту  7,5 мм. На блокирующей части гайки сверху имеется шестигранный внутренний шлиц для ревизионного вмешательства.  Размер посадочного гнезда гайки – 8 мм.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» шип.</w:t>
            </w:r>
            <w:proofErr w:type="gramEnd"/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для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винтов,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40, 45, 50, 55, 60, 65, 70, 75, 80, 85, 90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D32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Стержень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предызогнутый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малоинвазивного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спондилодеза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. Используется при фиксации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перкутанными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канюлированными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винтами. Диаметр 5.5 мм. Стержень имеет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пулевидное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 с одной стороны для облегчения проведения через мягкие ткани, с другой стороны стержень имеет конфигурацию, позволяющую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заыиксировать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его в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стержневом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 установочном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инстрмументе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. Длина 35-120 мм. Материал – сплав Ti-6Al-4V.</w:t>
            </w:r>
            <w:bookmarkEnd w:id="0"/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кортикальный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(мм) 5.5, размером (мм) 5.0,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25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 из титанового сплава Ti-6Al-4V, градация V, американский стандарт ASTM F136, немецкий стандарт DIN 17850. </w:t>
            </w:r>
            <w:proofErr w:type="spellStart"/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Многоосевой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Кончик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транспедикулярного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постаянным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шагом 14.8 и уменьшающейся глубиной от конца к основанию, от 1,49 до 0,35 мм. Размеры: диаметр 4.0мм/ 4.5мм/ 5.0мм/ 5.5мм, длина от 15 до 30 мм с шагом </w:t>
            </w:r>
            <w:r w:rsidRPr="0097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мм. Размеры головки винта: высота 16.1 мм,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сагитальная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ширина 9.2 мм, диаметр 12.63 мм. Высота профиля 16.1 мм, диаметр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футпринта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11 мм. Угол наклона головки винта относительно оси ножки винта составляет 28° при любом диаметре ножки винта.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 гайкой с отламывающейся головкой, состоящей из двух частей: нижней фиксирующей высотой 4,5 мм, погружающейся в головку 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, имеющей внешнюю резьбу G4, и верхней шестигранной, сепарируемой при затягивании.</w:t>
            </w:r>
            <w:proofErr w:type="gram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 xml:space="preserve"> Сепарируемая часть гайки полая, имеет высоту  7,5 мм. На блокирующей части гайки сверху имеется шестигранный внутренний шлиц для ревизионного вмешательства.  Размер посадочного гнезда гайки – 8 мм. </w:t>
            </w:r>
            <w:proofErr w:type="gram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975EBC">
              <w:rPr>
                <w:rFonts w:ascii="Times New Roman" w:hAnsi="Times New Roman" w:cs="Times New Roman"/>
                <w:sz w:val="18"/>
                <w:szCs w:val="18"/>
              </w:rPr>
              <w:t>» шип.</w:t>
            </w:r>
            <w:proofErr w:type="gramEnd"/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пластического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востановления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позвоночника  с принадлежностями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пластического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востановления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позвоночника, предназначена для лечения переломов тела позвонка и создания пустот в губчатом веществе кости, которые могут быть заполнены костным цементом. Процедура выполняется для восстановления высоты тела позвонка. Системы  состоят из приборов из нержавеющей стали с несколькими компонентами с проксимальными литыми рукоятками. Набор для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кифопластики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включает: 1. Костная проводниковая система 1 шт. Является минимально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инвазивной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системой для точного доступа к телу позвонка. Имеет 3 калибр (4.2 мм).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Совместима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системами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Xpander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Xpander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II. Состоит из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траокарного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остеоинтродъюссера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установленного в рабочей канюле, дополнительной рабочей канюли, прецизионного сверла; 2.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Костный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балон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20/3 - 2 шт.  Надувные костные баллоны  состоят из надувного баллона на дистальном конце, коаксиального двойного полостного стержня и Y-образного адаптера. Баллон спроектирован для сжатия губчатого вещества кости и/или смещения кортикальной кости во время надувания.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Балон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предназначенный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восстановления перелома тела позвонка и коррекции деформации позвоночника.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длинна 20 мм, максимальное давление 400 Па, максимальный диаметр 16 мм, максимальная длинна 28 мм, максимальный объем 6 мм; 3. Устройство для наполнения кости - 6 шт., Прибор для заполнения костей состоит из насадок из нержавеющей стали и поршней с литыми рукоятками. Насадка используется в качестве канала для костного цемента во время подачи в кость. Поршень имеет лазерные маркеры, которые указывают поданный объем костного цемента. 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прадназначено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безопасной, доставки 1,5 куб. мм костного цемента в тело позвонка.; 4 Шприц для наполнения - 2 шт. Раздувающий шприц состоит из одноразового пластикового шприца с интегральным датчиком давления и цифровым дисплеем, нарезным поршнем с рукояткой ослабления давления и гибкой удлинительной трубки высокого давления.; 5 Устройство для биопсии кости - состоит из канюли 4.2 мм (3 калибр) и металлического стержня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выталкивания ткани.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(4,5 X 45 мм; 5,5х50 мм; 5,5х55 мм; 6,5х45 мм)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транспедикулярной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фиксации и </w:t>
            </w:r>
            <w:proofErr w:type="spellStart"/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боковой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фиксации  (винты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моноаксиальные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стержни,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коннекторы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,) для проведения хирургического лечения травм и дегенеративных заболеваний грудного и поясничного отделов позвоночника. Низкопрофильные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моноаксиальные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винты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камертонового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типа. Возможность применение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моноаксиальных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винтов, блокираторов и стержней  для переднебоковой фиксации позвоночника. Резьба винтов: компрессирующая в той части, которая будет находиться в ножке позвонка, и специальная широколопастная для фиксации в теле позвонка. Окончание винта: тупое - 60° для предотвращения повреждения сосудов. Размеры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винтов: диаметр - 4.5 мм; 5.5 мм; 6.5 мм; 7.5мм; 8.5мм; 9.5 мм, длина от 25 до 100 мм, высота головки 15,3 мм, ширина головки 10 мм. 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(35 - 39 мм; 38-43 мм; 42-51 мм; 56-67 мм)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Коннекторы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низкопрофильные,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мультиаксиальные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телескопические поперечные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коннекторы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Один блокирующий встроенный в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 для каждого стержня. Один центральный блокирующий встроенный в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 для фиксации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коннектора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заданной форме. Патентованная конструкция блокиратора исключает самопроизвольное выкручивание. Длина малых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мультиаксиальных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телескопических поперечных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коннекторов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- 29-39 мм. Длина стандартных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мультиаксиальных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телескопических поперечных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коннекторов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- 38 - 99 мм. Титановый сплав Ti-6Al-4V, градация V, американский стандарт ASTM F136, немецкий стандарт DIN 17850, ISO  </w:t>
            </w: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5832-3. Цветовая маркировка путем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анодизации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поверхности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имплантов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 X 250 мм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диаметром 6 мм, длиной 250 мм, используется для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транспедикулярной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фиксации позвоночника. Материал изготовлени</w:t>
            </w:r>
            <w:proofErr w:type="gram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Титановый сплав Ti-6Al-4V, градация V, американский стандарт ASTM F136, немецкий стандарт DIN 17850, ISO  5832-3. Цветовая маркировка путем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анодизации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поверхности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имплантов</w:t>
            </w:r>
            <w:proofErr w:type="spellEnd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75EBC" w:rsidRPr="00593C83" w:rsidTr="00975EBC">
        <w:tc>
          <w:tcPr>
            <w:tcW w:w="851" w:type="dxa"/>
            <w:shd w:val="clear" w:color="auto" w:fill="auto"/>
            <w:vAlign w:val="center"/>
          </w:tcPr>
          <w:p w:rsidR="00975EBC" w:rsidRPr="00593C83" w:rsidRDefault="00975EBC" w:rsidP="00593C8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Гайка </w:t>
            </w:r>
            <w:proofErr w:type="spellStart"/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блокер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975EBC" w:rsidRPr="00975EBC" w:rsidRDefault="00975E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Универсальный блокирующий винт имеет специальную резьбу, устойчивую к самопроизвольному выкручиванию. Материал изготовления: Ti-6AL-4V. </w:t>
            </w:r>
          </w:p>
        </w:tc>
      </w:tr>
    </w:tbl>
    <w:p w:rsidR="00593C83" w:rsidRPr="00593C83" w:rsidRDefault="00593C83" w:rsidP="005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Выделенная сумма для закупки:</w:t>
      </w:r>
      <w:r w:rsid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117 364 247</w:t>
      </w:r>
      <w:r w:rsidR="00BD7076" w:rsidRPr="0009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семнадцать миллионов триста шестьдесят четыре тысячи двести сорок семь</w:t>
      </w: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593C83" w:rsidRPr="00593C83" w:rsidRDefault="00593C83" w:rsidP="005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 разъяснении тендерной документации в адрес Организатора не поступало. На встречу по разъяснению положений тендерной документации никто из потенциальных поставщиков не явился.</w:t>
      </w:r>
    </w:p>
    <w:p w:rsidR="00593C83" w:rsidRPr="00593C83" w:rsidRDefault="00593C83" w:rsidP="00593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Тендерные заявки на участие в тендере предоставили следующие потенциальные поставщики: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367"/>
        <w:gridCol w:w="6100"/>
      </w:tblGrid>
      <w:tr w:rsidR="00A773EE" w:rsidRPr="00593C83" w:rsidTr="00975EBC">
        <w:tc>
          <w:tcPr>
            <w:tcW w:w="564" w:type="dxa"/>
          </w:tcPr>
          <w:p w:rsidR="00A773EE" w:rsidRPr="00593C83" w:rsidRDefault="00975EBC" w:rsidP="005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A773EE" w:rsidRPr="005141EA" w:rsidRDefault="00A773EE" w:rsidP="00975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«А-37»</w:t>
            </w:r>
          </w:p>
        </w:tc>
        <w:tc>
          <w:tcPr>
            <w:tcW w:w="6100" w:type="dxa"/>
          </w:tcPr>
          <w:p w:rsidR="00A773EE" w:rsidRPr="005141EA" w:rsidRDefault="00A773EE" w:rsidP="00975E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ул.Басенова,д.27</w:t>
            </w:r>
          </w:p>
        </w:tc>
      </w:tr>
      <w:tr w:rsidR="00A773EE" w:rsidRPr="00593C83" w:rsidTr="00975EBC">
        <w:tc>
          <w:tcPr>
            <w:tcW w:w="564" w:type="dxa"/>
          </w:tcPr>
          <w:p w:rsidR="00A773EE" w:rsidRPr="00593C83" w:rsidRDefault="00975EBC" w:rsidP="005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A773EE" w:rsidRPr="005141EA" w:rsidRDefault="00A773EE" w:rsidP="00975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Apex co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100" w:type="dxa"/>
          </w:tcPr>
          <w:p w:rsidR="00A773EE" w:rsidRPr="005141EA" w:rsidRDefault="00A773EE" w:rsidP="00975E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ул.Огораева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4Б,24</w:t>
            </w:r>
          </w:p>
        </w:tc>
      </w:tr>
    </w:tbl>
    <w:p w:rsidR="000B569E" w:rsidRDefault="000B569E" w:rsidP="00593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C83" w:rsidRPr="00593C83" w:rsidRDefault="00593C83" w:rsidP="005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4.Наличие документов, предоставленные на участие в тендере потенциальными поставщиками по квалификационным требованиям</w:t>
      </w:r>
      <w:r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тендера».</w:t>
      </w:r>
    </w:p>
    <w:p w:rsidR="00593C83" w:rsidRDefault="00593C83" w:rsidP="00593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Тендерной комиссией отклонены тендерные заявки следующих потенциальных поставщиков (основание их отклонения): </w:t>
      </w:r>
      <w:r w:rsidR="009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отклонены.</w:t>
      </w:r>
    </w:p>
    <w:p w:rsidR="00593C83" w:rsidRPr="00593C83" w:rsidRDefault="00593C83" w:rsidP="00090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Ценовые предложения по лотам всех потенциальных поставщиков, у</w:t>
      </w:r>
      <w:r w:rsidR="00C33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казаны в приложении №1 к настоящему</w:t>
      </w:r>
      <w:r w:rsidRPr="00593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протоколу итогов.</w:t>
      </w:r>
    </w:p>
    <w:p w:rsidR="00593C83" w:rsidRPr="00593C83" w:rsidRDefault="00593C83" w:rsidP="00593C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Наименование победителя по каждому лоту и условия, по которым определен победитель:</w:t>
      </w:r>
    </w:p>
    <w:p w:rsidR="00593C83" w:rsidRPr="00C33388" w:rsidRDefault="00C33388" w:rsidP="00593C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="00593C83" w:rsidRPr="00C3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 самой низкой цены: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1984"/>
        <w:gridCol w:w="1843"/>
      </w:tblGrid>
      <w:tr w:rsidR="00C33388" w:rsidRPr="00593C83" w:rsidTr="00B802DA">
        <w:tc>
          <w:tcPr>
            <w:tcW w:w="959" w:type="dxa"/>
          </w:tcPr>
          <w:p w:rsidR="00C33388" w:rsidRPr="00593C83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812" w:type="dxa"/>
          </w:tcPr>
          <w:p w:rsidR="00C33388" w:rsidRPr="00593C83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984" w:type="dxa"/>
          </w:tcPr>
          <w:p w:rsidR="00C33388" w:rsidRPr="00593C83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поставщика</w:t>
            </w:r>
          </w:p>
        </w:tc>
        <w:tc>
          <w:tcPr>
            <w:tcW w:w="1843" w:type="dxa"/>
          </w:tcPr>
          <w:p w:rsidR="00C33388" w:rsidRPr="00593C83" w:rsidRDefault="00C33388" w:rsidP="00C33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</w:p>
        </w:tc>
      </w:tr>
      <w:tr w:rsidR="00E264B2" w:rsidRPr="00623451" w:rsidTr="00E264B2">
        <w:trPr>
          <w:trHeight w:val="326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(08Х26; 10х26; 12х26)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13 513 500,00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BC613A">
        <w:trPr>
          <w:trHeight w:val="40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(14X11X5 мм; 14х11х6 мм; 14х11х7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9 207 000,00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BC613A">
        <w:trPr>
          <w:trHeight w:val="366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Круглый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имплант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13Х70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1 660 365,00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B802DA">
        <w:trPr>
          <w:trHeight w:val="161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27,5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1 217 700,00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3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32,5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1 526 580,00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390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4 276 800,00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1 710 720,00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421 740,00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498 190,00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самосверлящий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VA (4,0Х13; 4,5х13)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2 743 400,00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Стержень из титанового сплава диаметр 5,5 мм </w:t>
            </w:r>
            <w:proofErr w:type="gram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500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1 663 200,00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Гайка из титанового сплава с отламывающейся головкой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6 907 890,00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(4,0Х35; 4,0х40; 4,5х45; 5,0х45; 5,0х50; 5,5х40; 5,5х50; 5,5х55; 6,0х40)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13 325 400,00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межтеловое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</w:t>
            </w:r>
            <w:r w:rsidRPr="00623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16х14х5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15 444 000,00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самонарезающий винт 3.5 мм, 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11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1 900 800,00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игл для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265 100,00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гайка с внутренней резьбой для стержня диаметром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  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763 080,00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5.5, размером (мм) 5.5х40 мм, 5.5х45 мм, 5.5х50 мм, 5.5х55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2 494 800,00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для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винтов,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40, 45, 50, 55, 60, 65, 70, 75, 80, 85, 90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613 800,00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кортикальный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(мм) 5.5, размером (мм) 5.0,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25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2 280 960,00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12" w:type="dxa"/>
          </w:tcPr>
          <w:p w:rsidR="00E264B2" w:rsidRPr="00623451" w:rsidRDefault="00E264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пластического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востановления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позвоночника  с принадлежностями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4 798 500,00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(4,5 X 45 мм; 5,5х50 мм; 5,5х55 мм; 6,5х45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13 722 500,00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BC613A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(35 - 39 мм; 38-43 мм; 42-51 мм; 56-67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2 470 050,00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BC613A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 X 250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5 695 560,00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BC613A">
        <w:trPr>
          <w:trHeight w:val="252"/>
        </w:trPr>
        <w:tc>
          <w:tcPr>
            <w:tcW w:w="959" w:type="dxa"/>
          </w:tcPr>
          <w:p w:rsidR="00E264B2" w:rsidRPr="00623451" w:rsidRDefault="00E264B2" w:rsidP="001E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12" w:type="dxa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Гайка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блокер</w:t>
            </w:r>
            <w:proofErr w:type="spellEnd"/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2 943 750,00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</w:tbl>
    <w:p w:rsidR="00593C83" w:rsidRPr="00623451" w:rsidRDefault="00593C83" w:rsidP="00593C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34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Наименование и местонахождения участника тендера, предложение которого является вторым по предпочтительности:</w:t>
      </w:r>
    </w:p>
    <w:p w:rsidR="00593C83" w:rsidRPr="00623451" w:rsidRDefault="00593C83" w:rsidP="005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451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Второй победитель</w:t>
      </w:r>
      <w:r w:rsidR="00C33388" w:rsidRPr="0062345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1984"/>
        <w:gridCol w:w="1843"/>
      </w:tblGrid>
      <w:tr w:rsidR="00C33388" w:rsidRPr="00623451" w:rsidTr="00B802DA">
        <w:trPr>
          <w:trHeight w:val="636"/>
        </w:trPr>
        <w:tc>
          <w:tcPr>
            <w:tcW w:w="851" w:type="dxa"/>
          </w:tcPr>
          <w:p w:rsidR="00C33388" w:rsidRPr="00623451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812" w:type="dxa"/>
          </w:tcPr>
          <w:p w:rsidR="00C33388" w:rsidRPr="00623451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1984" w:type="dxa"/>
          </w:tcPr>
          <w:p w:rsidR="00C33388" w:rsidRPr="00623451" w:rsidRDefault="00C33388" w:rsidP="00593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поставщика</w:t>
            </w:r>
          </w:p>
        </w:tc>
        <w:tc>
          <w:tcPr>
            <w:tcW w:w="1843" w:type="dxa"/>
          </w:tcPr>
          <w:p w:rsidR="00C33388" w:rsidRPr="00623451" w:rsidRDefault="00C33388" w:rsidP="00C33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Поставщик</w:t>
            </w:r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(08Х26; 10х26; 12х26)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14 140 000,00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Кейдж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(14X11X5 мм; 14х11х6 мм; 14х11х7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9 650 000,00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Круглый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имплант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13Х70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1 740 000,00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27,5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1 270 000,00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rPr>
          <w:trHeight w:val="450"/>
        </w:trPr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32,5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1 600 000,00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4 475 000,00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45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1 790 000,00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442 000,00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Пластина передняя шейная 62,5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522 000,00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самосверлящий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VA (4,0Х13; 4,5х13)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2 800 000,00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Стержень из титанового сплава диаметр 5,5 мм </w:t>
            </w:r>
            <w:proofErr w:type="gram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500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1 680 000,00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Гайка из титанового сплава с отламывающейся головкой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6 930 000,00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sz w:val="18"/>
                <w:szCs w:val="18"/>
              </w:rPr>
              <w:t xml:space="preserve"> (4,0Х35; 4,0х40; 4,5х45; 5,0х45; 5,0х50; 5,5х40; 5,5х50; 5,5х55; 6,0х40)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13 800 000,00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межтеловое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</w:t>
            </w:r>
            <w:r w:rsidRPr="00623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16х14х5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16 200 000,00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самонарезающий винт 3.5 мм, 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11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1 990 000,00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игл для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275 000,00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гайка с внутренней резьбой для стержня диаметром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  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780 000,00   </w:t>
            </w:r>
          </w:p>
        </w:tc>
        <w:tc>
          <w:tcPr>
            <w:tcW w:w="1843" w:type="dxa"/>
            <w:vAlign w:val="center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5.5, размером (мм) 5.5х40 мм, 5.5х45 мм, 5.5х50 мм, 5.5х55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2 610 000,00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для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канюлированных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винтов,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40, 45, 50, 55, 60, 65, 70, 75, 80, 85, 90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640 000,00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кортикальный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многоосевой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стержня диаметром (мм) 5.5, размером (мм) 5.0, </w:t>
            </w:r>
            <w:proofErr w:type="gram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длинной</w:t>
            </w:r>
            <w:proofErr w:type="gram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(мм) 25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2 370 000,00   </w:t>
            </w:r>
          </w:p>
        </w:tc>
        <w:tc>
          <w:tcPr>
            <w:tcW w:w="1843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пластического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востановления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позвоночника  с принадлежностями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4 799 000,00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Apex</w:t>
            </w:r>
            <w:proofErr w:type="spellEnd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полиаксиальный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(4,5 X 45 мм; 5,5х50 мм; 5,5х55 мм; 6,5х45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14 400 000,00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(35 - 39 мм; 38-43 мм; 42-51 мм; 56-67 мм)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2 593 500,00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 X 250 мм</w:t>
            </w:r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5 911 200,00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  <w:tr w:rsidR="00E264B2" w:rsidRPr="00623451" w:rsidTr="00E264B2">
        <w:tc>
          <w:tcPr>
            <w:tcW w:w="851" w:type="dxa"/>
          </w:tcPr>
          <w:p w:rsidR="00E264B2" w:rsidRPr="00623451" w:rsidRDefault="00E264B2" w:rsidP="00E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12" w:type="dxa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Гайка </w:t>
            </w:r>
            <w:proofErr w:type="spellStart"/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блокер</w:t>
            </w:r>
            <w:proofErr w:type="spellEnd"/>
          </w:p>
        </w:tc>
        <w:tc>
          <w:tcPr>
            <w:tcW w:w="1984" w:type="dxa"/>
            <w:vAlign w:val="bottom"/>
          </w:tcPr>
          <w:p w:rsidR="00E264B2" w:rsidRPr="00623451" w:rsidRDefault="00E2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3 075 000,00   </w:t>
            </w:r>
          </w:p>
        </w:tc>
        <w:tc>
          <w:tcPr>
            <w:tcW w:w="1843" w:type="dxa"/>
            <w:vAlign w:val="bottom"/>
          </w:tcPr>
          <w:p w:rsidR="00E264B2" w:rsidRPr="00623451" w:rsidRDefault="00E264B2" w:rsidP="00E264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4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«А-37»</w:t>
            </w:r>
          </w:p>
        </w:tc>
      </w:tr>
    </w:tbl>
    <w:p w:rsidR="00593C83" w:rsidRPr="00E264B2" w:rsidRDefault="00A8121A" w:rsidP="00283E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593C83" w:rsidRPr="00593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На участие в тендере не предоставлено заявок на следующие лоты: </w:t>
      </w:r>
      <w:r w:rsidR="00E264B2" w:rsidRPr="00E2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лоты предоставлены заявки.</w:t>
      </w:r>
    </w:p>
    <w:p w:rsidR="00D1250E" w:rsidRPr="00385714" w:rsidRDefault="00A8121A" w:rsidP="00283E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 w:rsidR="0028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6548" w:rsidRPr="00385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привлечении экспертной комиссии: не привлекались</w:t>
      </w:r>
    </w:p>
    <w:p w:rsidR="00593C83" w:rsidRPr="00593C83" w:rsidRDefault="00D1250E" w:rsidP="00283E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593C83"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государственных закупок по результатам данных закупок способом тендера </w:t>
      </w:r>
      <w:r w:rsidR="00593C83" w:rsidRPr="0059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  <w:r w:rsidR="00593C83"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со следующим</w:t>
      </w:r>
      <w:r w:rsidR="00FF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3C83" w:rsidRPr="0059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3451" w:rsidRPr="00623451" w:rsidRDefault="002263AD" w:rsidP="0062345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D2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E264B2">
        <w:rPr>
          <w:rFonts w:ascii="Times New Roman" w:hAnsi="Times New Roman" w:cs="Times New Roman"/>
          <w:b/>
          <w:sz w:val="24"/>
          <w:szCs w:val="24"/>
        </w:rPr>
        <w:t>«А-37</w:t>
      </w:r>
      <w:r w:rsidRPr="002135D2">
        <w:rPr>
          <w:rFonts w:ascii="Times New Roman" w:hAnsi="Times New Roman" w:cs="Times New Roman"/>
          <w:b/>
          <w:sz w:val="24"/>
          <w:szCs w:val="24"/>
        </w:rPr>
        <w:t>»</w:t>
      </w:r>
      <w:r w:rsidR="00E2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83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E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87 233 525</w:t>
      </w:r>
      <w:r w:rsidR="002135D2" w:rsidRPr="0021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,00</w:t>
      </w:r>
      <w:r w:rsid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34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(восемьдесят семь миллионов двести тридцать три тысячи пятьсот двадцать пять</w:t>
      </w:r>
      <w:r w:rsidR="002135D2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тенге, 00 </w:t>
      </w:r>
      <w:proofErr w:type="spellStart"/>
      <w:r w:rsidR="002135D2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="002135D2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51" w:rsidRPr="0062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r w:rsidR="00623451" w:rsidRPr="006234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Apex</w:t>
      </w:r>
      <w:r w:rsidR="00623451" w:rsidRPr="0062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451" w:rsidRPr="006234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</w:t>
      </w:r>
      <w:r w:rsidR="00623451" w:rsidRPr="0062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3451" w:rsidRPr="0062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51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623451" w:rsidRPr="0062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51" w:rsidRP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623451" w:rsidRP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831 860</w:t>
      </w:r>
      <w:r w:rsidR="00623451" w:rsidRPr="0021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,00</w:t>
      </w:r>
      <w:r w:rsidR="0062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34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(двадцать четыре миллионов восемьсот тридцать одна тысяча восемьсот шестьдесят</w:t>
      </w:r>
      <w:r w:rsidR="00623451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тенге, 00 </w:t>
      </w:r>
      <w:proofErr w:type="spellStart"/>
      <w:r w:rsidR="00623451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="00623451" w:rsidRPr="00213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C83" w:rsidRDefault="00593C83" w:rsidP="00623451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Тендерная комиссия в составе:</w:t>
      </w:r>
    </w:p>
    <w:p w:rsidR="00162A97" w:rsidRDefault="00162A97" w:rsidP="00162A97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Шерияздан</w:t>
      </w:r>
      <w:proofErr w:type="spellEnd"/>
      <w:r>
        <w:rPr>
          <w:rFonts w:ascii="Times New Roman" w:hAnsi="Times New Roman"/>
          <w:sz w:val="20"/>
          <w:szCs w:val="20"/>
        </w:rPr>
        <w:t xml:space="preserve"> Ж.С.- заместитель главного врача по лечебной работе,  председателя тендерной комиссии</w:t>
      </w:r>
      <w:r w:rsidRPr="005141EA">
        <w:rPr>
          <w:rFonts w:ascii="Times New Roman" w:hAnsi="Times New Roman"/>
          <w:sz w:val="20"/>
          <w:szCs w:val="20"/>
        </w:rPr>
        <w:t>;</w:t>
      </w:r>
    </w:p>
    <w:p w:rsidR="00162A97" w:rsidRPr="005141EA" w:rsidRDefault="00162A97" w:rsidP="00162A97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141EA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Арыстанов</w:t>
      </w:r>
      <w:proofErr w:type="spellEnd"/>
      <w:r>
        <w:rPr>
          <w:rFonts w:ascii="Times New Roman" w:hAnsi="Times New Roman"/>
          <w:sz w:val="20"/>
          <w:szCs w:val="20"/>
        </w:rPr>
        <w:t xml:space="preserve"> М.Б.</w:t>
      </w:r>
      <w:r w:rsidRPr="005141EA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и.о заместителя</w:t>
      </w:r>
      <w:r w:rsidRPr="005141EA">
        <w:rPr>
          <w:rFonts w:ascii="Times New Roman" w:hAnsi="Times New Roman"/>
          <w:sz w:val="20"/>
          <w:szCs w:val="20"/>
        </w:rPr>
        <w:t xml:space="preserve"> главного врача по финансово-экономическим </w:t>
      </w:r>
      <w:r>
        <w:rPr>
          <w:rFonts w:ascii="Times New Roman" w:hAnsi="Times New Roman"/>
          <w:sz w:val="20"/>
          <w:szCs w:val="20"/>
        </w:rPr>
        <w:t xml:space="preserve">вопросам, заместитель председателя тендерной комиссии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комиссии</w:t>
      </w:r>
      <w:proofErr w:type="spellEnd"/>
      <w:proofErr w:type="gramEnd"/>
      <w:r w:rsidRPr="005141EA">
        <w:rPr>
          <w:rFonts w:ascii="Times New Roman" w:hAnsi="Times New Roman"/>
          <w:sz w:val="20"/>
          <w:szCs w:val="20"/>
        </w:rPr>
        <w:t>;</w:t>
      </w:r>
    </w:p>
    <w:p w:rsidR="00162A97" w:rsidRPr="005141EA" w:rsidRDefault="00162A97" w:rsidP="00162A97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141EA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Кагальникова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  <w:r w:rsidRPr="005141EA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>заведующий аптекой, член</w:t>
      </w:r>
      <w:r w:rsidRPr="005141EA">
        <w:rPr>
          <w:rFonts w:ascii="Times New Roman" w:hAnsi="Times New Roman"/>
          <w:sz w:val="20"/>
          <w:szCs w:val="20"/>
        </w:rPr>
        <w:t xml:space="preserve"> комиссии;</w:t>
      </w:r>
    </w:p>
    <w:p w:rsidR="00162A97" w:rsidRPr="005141EA" w:rsidRDefault="00162A97" w:rsidP="00162A97">
      <w:pPr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141EA">
        <w:rPr>
          <w:rFonts w:ascii="Times New Roman" w:hAnsi="Times New Roman"/>
          <w:sz w:val="20"/>
          <w:szCs w:val="20"/>
        </w:rPr>
        <w:t>-</w:t>
      </w:r>
      <w:proofErr w:type="spellStart"/>
      <w:r w:rsidRPr="005141EA">
        <w:rPr>
          <w:rFonts w:ascii="Times New Roman" w:hAnsi="Times New Roman"/>
          <w:sz w:val="20"/>
          <w:szCs w:val="20"/>
        </w:rPr>
        <w:t>Каймолдина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141EA">
        <w:rPr>
          <w:rFonts w:ascii="Times New Roman" w:hAnsi="Times New Roman"/>
          <w:sz w:val="20"/>
          <w:szCs w:val="20"/>
        </w:rPr>
        <w:t>А.Б. - специалист отдела государственных закупок, секретарь;</w:t>
      </w:r>
    </w:p>
    <w:p w:rsidR="00162A97" w:rsidRDefault="00162A97" w:rsidP="00623451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250" w:type="dxa"/>
        <w:tblLook w:val="01E0"/>
      </w:tblPr>
      <w:tblGrid>
        <w:gridCol w:w="1977"/>
        <w:gridCol w:w="4682"/>
      </w:tblGrid>
      <w:tr w:rsidR="00623451" w:rsidRPr="00DC0770" w:rsidTr="00623451">
        <w:tc>
          <w:tcPr>
            <w:tcW w:w="1977" w:type="dxa"/>
            <w:hideMark/>
          </w:tcPr>
          <w:p w:rsidR="0062345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5461">
              <w:rPr>
                <w:rFonts w:ascii="Times New Roman" w:hAnsi="Times New Roman"/>
                <w:sz w:val="18"/>
                <w:szCs w:val="18"/>
              </w:rPr>
              <w:t>Шерияздан</w:t>
            </w:r>
            <w:proofErr w:type="spellEnd"/>
            <w:r w:rsidRPr="00B75461">
              <w:rPr>
                <w:rFonts w:ascii="Times New Roman" w:hAnsi="Times New Roman"/>
                <w:sz w:val="18"/>
                <w:szCs w:val="18"/>
              </w:rPr>
              <w:t xml:space="preserve"> Ж.С.</w:t>
            </w:r>
          </w:p>
          <w:p w:rsidR="0062345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hideMark/>
          </w:tcPr>
          <w:p w:rsidR="00623451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451" w:rsidRPr="00DC0770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0770"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</w:p>
          <w:p w:rsidR="00623451" w:rsidRPr="00DC0770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451" w:rsidRPr="00623451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451" w:rsidRPr="00DC0770" w:rsidTr="00623451">
        <w:tc>
          <w:tcPr>
            <w:tcW w:w="1977" w:type="dxa"/>
          </w:tcPr>
          <w:p w:rsidR="0062345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5461">
              <w:rPr>
                <w:rFonts w:ascii="Times New Roman" w:hAnsi="Times New Roman"/>
                <w:sz w:val="18"/>
                <w:szCs w:val="18"/>
              </w:rPr>
              <w:t>Арыстанов</w:t>
            </w:r>
            <w:proofErr w:type="spellEnd"/>
            <w:r w:rsidRPr="00B75461">
              <w:rPr>
                <w:rFonts w:ascii="Times New Roman" w:hAnsi="Times New Roman"/>
                <w:sz w:val="18"/>
                <w:szCs w:val="18"/>
              </w:rPr>
              <w:t xml:space="preserve"> М.Б.</w:t>
            </w:r>
          </w:p>
          <w:p w:rsidR="0062345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hideMark/>
          </w:tcPr>
          <w:p w:rsidR="00623451" w:rsidRPr="00DC0770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0770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</w:t>
            </w:r>
          </w:p>
        </w:tc>
      </w:tr>
      <w:tr w:rsidR="00623451" w:rsidRPr="00DC0770" w:rsidTr="00623451">
        <w:trPr>
          <w:trHeight w:val="450"/>
        </w:trPr>
        <w:tc>
          <w:tcPr>
            <w:tcW w:w="1977" w:type="dxa"/>
          </w:tcPr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5461">
              <w:rPr>
                <w:rFonts w:ascii="Times New Roman" w:hAnsi="Times New Roman"/>
                <w:sz w:val="18"/>
                <w:szCs w:val="18"/>
              </w:rPr>
              <w:t>Кагальникова</w:t>
            </w:r>
            <w:proofErr w:type="spellEnd"/>
            <w:r w:rsidRPr="00B75461"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23451" w:rsidRPr="00B75461" w:rsidRDefault="00623451" w:rsidP="006234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hideMark/>
          </w:tcPr>
          <w:p w:rsidR="00623451" w:rsidRPr="00DC0770" w:rsidRDefault="00623451" w:rsidP="00623451">
            <w:pPr>
              <w:spacing w:after="0" w:line="240" w:lineRule="auto"/>
              <w:ind w:hanging="63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0770">
              <w:rPr>
                <w:rFonts w:ascii="Times New Roman" w:hAnsi="Times New Roman"/>
                <w:b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_________________</w:t>
            </w:r>
          </w:p>
          <w:p w:rsidR="00623451" w:rsidRPr="00DC0770" w:rsidRDefault="00623451" w:rsidP="0062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93C83" w:rsidRPr="00593C83" w:rsidRDefault="00593C83" w:rsidP="0062345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C83" w:rsidRPr="00593C83" w:rsidSect="00975EBC">
      <w:footerReference w:type="default" r:id="rId9"/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F8" w:rsidRDefault="001538F8">
      <w:pPr>
        <w:spacing w:after="0" w:line="240" w:lineRule="auto"/>
      </w:pPr>
      <w:r>
        <w:separator/>
      </w:r>
    </w:p>
  </w:endnote>
  <w:endnote w:type="continuationSeparator" w:id="1">
    <w:p w:rsidR="001538F8" w:rsidRDefault="0015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F8" w:rsidRDefault="001538F8">
    <w:pPr>
      <w:pStyle w:val="a3"/>
      <w:jc w:val="right"/>
    </w:pPr>
    <w:fldSimple w:instr=" PAGE   \* MERGEFORMAT ">
      <w:r w:rsidR="007422B6">
        <w:rPr>
          <w:noProof/>
        </w:rPr>
        <w:t>1</w:t>
      </w:r>
    </w:fldSimple>
  </w:p>
  <w:p w:rsidR="001538F8" w:rsidRDefault="001538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F8" w:rsidRDefault="001538F8">
      <w:pPr>
        <w:spacing w:after="0" w:line="240" w:lineRule="auto"/>
      </w:pPr>
      <w:r>
        <w:separator/>
      </w:r>
    </w:p>
  </w:footnote>
  <w:footnote w:type="continuationSeparator" w:id="1">
    <w:p w:rsidR="001538F8" w:rsidRDefault="0015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907"/>
    <w:multiLevelType w:val="hybridMultilevel"/>
    <w:tmpl w:val="154C8712"/>
    <w:lvl w:ilvl="0" w:tplc="6526F384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7C4F9D"/>
    <w:multiLevelType w:val="hybridMultilevel"/>
    <w:tmpl w:val="93EAE6DC"/>
    <w:lvl w:ilvl="0" w:tplc="13CE4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93938"/>
    <w:multiLevelType w:val="hybridMultilevel"/>
    <w:tmpl w:val="CAD0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4632"/>
    <w:multiLevelType w:val="hybridMultilevel"/>
    <w:tmpl w:val="FCA86394"/>
    <w:lvl w:ilvl="0" w:tplc="95EE62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83"/>
    <w:rsid w:val="00090B81"/>
    <w:rsid w:val="000B569E"/>
    <w:rsid w:val="001376C5"/>
    <w:rsid w:val="001538F8"/>
    <w:rsid w:val="00162A97"/>
    <w:rsid w:val="001A7BFD"/>
    <w:rsid w:val="001B03B6"/>
    <w:rsid w:val="001E53AB"/>
    <w:rsid w:val="00212AFE"/>
    <w:rsid w:val="002135D2"/>
    <w:rsid w:val="002263AD"/>
    <w:rsid w:val="00283EB9"/>
    <w:rsid w:val="00384771"/>
    <w:rsid w:val="00385714"/>
    <w:rsid w:val="00431079"/>
    <w:rsid w:val="004F27AC"/>
    <w:rsid w:val="00541747"/>
    <w:rsid w:val="00574882"/>
    <w:rsid w:val="00593C83"/>
    <w:rsid w:val="00596D08"/>
    <w:rsid w:val="005B205D"/>
    <w:rsid w:val="00623451"/>
    <w:rsid w:val="006B4218"/>
    <w:rsid w:val="007422B6"/>
    <w:rsid w:val="007D78BF"/>
    <w:rsid w:val="00857167"/>
    <w:rsid w:val="00871010"/>
    <w:rsid w:val="008C3A68"/>
    <w:rsid w:val="008D7EFE"/>
    <w:rsid w:val="008F7ABD"/>
    <w:rsid w:val="00975EBC"/>
    <w:rsid w:val="00A55282"/>
    <w:rsid w:val="00A72BB5"/>
    <w:rsid w:val="00A773EE"/>
    <w:rsid w:val="00A8121A"/>
    <w:rsid w:val="00B30D0F"/>
    <w:rsid w:val="00B802DA"/>
    <w:rsid w:val="00B9206A"/>
    <w:rsid w:val="00BC613A"/>
    <w:rsid w:val="00BD7076"/>
    <w:rsid w:val="00BF31D8"/>
    <w:rsid w:val="00C33388"/>
    <w:rsid w:val="00C80CDD"/>
    <w:rsid w:val="00C862BE"/>
    <w:rsid w:val="00CB6548"/>
    <w:rsid w:val="00CC51CE"/>
    <w:rsid w:val="00D02647"/>
    <w:rsid w:val="00D1250E"/>
    <w:rsid w:val="00E21DE7"/>
    <w:rsid w:val="00E264B2"/>
    <w:rsid w:val="00EC2F52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C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93C8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9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5714"/>
  </w:style>
  <w:style w:type="character" w:styleId="a6">
    <w:name w:val="Hyperlink"/>
    <w:basedOn w:val="a0"/>
    <w:uiPriority w:val="99"/>
    <w:semiHidden/>
    <w:unhideWhenUsed/>
    <w:rsid w:val="003857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C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93C8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714"/>
  </w:style>
  <w:style w:type="character" w:styleId="a6">
    <w:name w:val="Hyperlink"/>
    <w:basedOn w:val="a0"/>
    <w:uiPriority w:val="99"/>
    <w:semiHidden/>
    <w:unhideWhenUsed/>
    <w:rsid w:val="003857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7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68D8-1206-457D-BA4E-C55BC3E6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3593</Words>
  <Characters>20486</Characters>
  <Application>Microsoft Office Word</Application>
  <DocSecurity>0</DocSecurity>
  <Lines>170</Lines>
  <Paragraphs>48</Paragraphs>
  <ScaleCrop>false</ScaleCrop>
  <Company>Grizli777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2017-03-08T08:46:00Z</cp:lastPrinted>
  <dcterms:created xsi:type="dcterms:W3CDTF">2017-03-08T08:48:00Z</dcterms:created>
  <dcterms:modified xsi:type="dcterms:W3CDTF">2017-03-08T08:48:00Z</dcterms:modified>
</cp:coreProperties>
</file>